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40.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став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тачке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6. 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Статута</w:t>
      </w:r>
      <w:proofErr w:type="spellEnd"/>
      <w:r w:rsidRPr="00C743D9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(„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Службени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лист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743D9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>“</w:t>
      </w:r>
      <w:proofErr w:type="gram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>2/2019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), и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sr-Cyrl-RS"/>
        </w:rPr>
        <w:t>'' , број  1/2015…10/2022),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>н</w:t>
      </w:r>
      <w:r w:rsidRPr="00C743D9">
        <w:rPr>
          <w:rFonts w:ascii="Arial" w:eastAsia="Arial" w:hAnsi="Arial" w:cs="Arial"/>
          <w:sz w:val="24"/>
          <w:szCs w:val="24"/>
          <w:lang w:val="en-US"/>
        </w:rPr>
        <w:t>а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одржаној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дана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19. октобра  2023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C743D9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C743D9">
        <w:rPr>
          <w:rFonts w:ascii="Arial" w:eastAsia="Arial" w:hAnsi="Arial" w:cs="Arial"/>
          <w:sz w:val="24"/>
          <w:szCs w:val="24"/>
          <w:lang w:val="en-US"/>
        </w:rPr>
        <w:t>,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743D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b/>
          <w:sz w:val="28"/>
          <w:szCs w:val="28"/>
          <w:lang w:val="sr-Cyrl-RS"/>
        </w:rPr>
      </w:pPr>
      <w:r w:rsidRPr="00C743D9">
        <w:rPr>
          <w:rFonts w:ascii="Arial" w:eastAsia="Arial" w:hAnsi="Arial" w:cs="Arial"/>
          <w:b/>
          <w:sz w:val="28"/>
          <w:szCs w:val="28"/>
          <w:lang w:val="sr-Cyrl-RS"/>
        </w:rPr>
        <w:t xml:space="preserve">ОДЛУКУ О УРЕЂИВАЊУ ГРАЂЕВИНСКОГ ЗЕМЉИШТА СРЕДСТВИМА ИНВЕСТИТОРА  </w:t>
      </w:r>
      <w:r w:rsidRPr="00C743D9">
        <w:rPr>
          <w:rFonts w:ascii="Arial" w:eastAsia="Arial" w:hAnsi="Arial" w:cs="Arial"/>
          <w:b/>
          <w:sz w:val="28"/>
          <w:szCs w:val="28"/>
        </w:rPr>
        <w:t>„LUSS INVESTMENT</w:t>
      </w:r>
      <w:r w:rsidRPr="00C743D9">
        <w:rPr>
          <w:rFonts w:ascii="Arial" w:eastAsia="Arial" w:hAnsi="Arial" w:cs="Arial"/>
          <w:b/>
          <w:sz w:val="28"/>
          <w:szCs w:val="28"/>
          <w:lang w:val="sr-Cyrl-RS"/>
        </w:rPr>
        <w:t>“ ДОО БЕОГРАД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743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Овом одлуком о уређивању грађевинског земљишта предвиђа се извођење радова на </w:t>
      </w:r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реконструкцији моста у улици Миладина </w:t>
      </w:r>
      <w:proofErr w:type="spellStart"/>
      <w:r w:rsidRPr="00C743D9">
        <w:rPr>
          <w:rFonts w:ascii="Arial" w:eastAsia="Arial" w:hAnsi="Arial" w:cs="Arial"/>
          <w:sz w:val="24"/>
          <w:szCs w:val="24"/>
          <w:lang w:val="sr-Cyrl-RS"/>
        </w:rPr>
        <w:t>Пећинара</w:t>
      </w:r>
      <w:proofErr w:type="spellEnd"/>
      <w:r w:rsidRPr="00C743D9">
        <w:rPr>
          <w:rFonts w:ascii="Arial" w:eastAsia="Arial" w:hAnsi="Arial" w:cs="Arial"/>
          <w:sz w:val="24"/>
          <w:szCs w:val="24"/>
          <w:lang w:val="sr-Cyrl-RS"/>
        </w:rPr>
        <w:t xml:space="preserve">, код зграде полицијске испоставе Златибор, извођење радова на изградњи кружног тока код хотела „Олимп“ и радова на приступу наведеном кружном току као и набавка асфалта разних марки за потребе уређивања површина јавне намене од стране КЈП „Златибор“, који би се финансирали средствима инвеститора </w:t>
      </w:r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LUSS INVESTMENT</w:t>
      </w:r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“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д.о.о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. из Београда.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743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На основу достављеног </w:t>
      </w:r>
      <w:proofErr w:type="spellStart"/>
      <w:r w:rsidRPr="00C743D9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грађевинских радова и извршене стручне контроле </w:t>
      </w:r>
      <w:proofErr w:type="spellStart"/>
      <w:r w:rsidRPr="00C743D9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од стране овлашћеног судског вештака, а по налогу Комисије за контролу извршених грађевинских радова, укупна вредност предметних радова на реконструкцији моста износи </w:t>
      </w:r>
      <w:r w:rsidRPr="00C743D9">
        <w:rPr>
          <w:rFonts w:ascii="Arial" w:eastAsiaTheme="minorEastAsia" w:hAnsi="Arial" w:cs="Arial"/>
          <w:b/>
          <w:sz w:val="24"/>
          <w:szCs w:val="24"/>
          <w:lang w:val="sr-Cyrl-RS"/>
        </w:rPr>
        <w:t>17.460.401,70</w:t>
      </w:r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 динара без ПДВ-а, док се набавка асфалта планира у износу од </w:t>
      </w:r>
      <w:r w:rsidRPr="00C743D9">
        <w:rPr>
          <w:rFonts w:ascii="Arial" w:eastAsiaTheme="minorEastAsia" w:hAnsi="Arial" w:cs="Arial"/>
          <w:b/>
          <w:sz w:val="24"/>
          <w:szCs w:val="24"/>
          <w:lang w:val="sr-Cyrl-RS"/>
        </w:rPr>
        <w:t>10.000.000,00</w:t>
      </w:r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 динара. Вредност планираних радова на изградњи кружног тока код хотела „Олимп“ и приступа истом износи </w:t>
      </w:r>
      <w:r w:rsidRPr="00C743D9">
        <w:rPr>
          <w:rFonts w:ascii="Arial" w:eastAsiaTheme="minorEastAsia" w:hAnsi="Arial" w:cs="Arial"/>
          <w:b/>
          <w:sz w:val="24"/>
          <w:szCs w:val="24"/>
          <w:lang w:val="sr-Cyrl-RS"/>
        </w:rPr>
        <w:t>3.986.289,40</w:t>
      </w:r>
      <w:r w:rsidRPr="00C743D9">
        <w:rPr>
          <w:rFonts w:ascii="Arial" w:eastAsiaTheme="minorEastAsia" w:hAnsi="Arial" w:cs="Arial"/>
          <w:sz w:val="24"/>
          <w:szCs w:val="24"/>
          <w:lang w:val="sr-Cyrl-RS"/>
        </w:rPr>
        <w:t xml:space="preserve"> динара.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743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LUSS </w:t>
      </w:r>
      <w:proofErr w:type="gram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INVESTMENT</w:t>
      </w:r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“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д.о.о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  <w:proofErr w:type="gram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из Београда, ул. Тошин бунар бр. 161, МБ 20398531, ПИБ 105527529, поднело је захтев за издавање локацијских услова на кат. парцели бр. 7472  КО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, ради изградње стамбено пословног објекта, за који ће бити извршен обрачун доприноса за уређивање грађевинског земљишта.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743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извести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наведене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proofErr w:type="gram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из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члана</w:t>
      </w:r>
      <w:proofErr w:type="spellEnd"/>
      <w:proofErr w:type="gram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1. и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изведених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утврђен</w:t>
      </w:r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ог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објекат на кат. парцели бр. 7472 КО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</w:t>
      </w: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743D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у смислу члана 21. Одлуке о утврђивању доприноса за уређивање грађевинског земљишта („Службени лист </w:t>
      </w:r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 xml:space="preserve">Општине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“, бр. 1/2015...10/2022) да закључи уговор са финансијером  у смислу члана 92.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C743D9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C743D9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C743D9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Овом одлуком ставља се ван снаге Одлука Скупштине општине број 400-726/23-01 од 22. јуна 2023. године.</w:t>
      </w: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</w:pPr>
      <w:r w:rsidRPr="00C743D9"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  <w:t xml:space="preserve">Члан 7. </w:t>
      </w: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C743D9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823964" w:rsidRPr="00C743D9" w:rsidRDefault="00823964" w:rsidP="0082396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C743D9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C743D9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400-1025 /2023 -01 од 19. октобра 2023. године</w:t>
      </w: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823964" w:rsidRPr="00C743D9" w:rsidRDefault="00823964" w:rsidP="00823964">
      <w:pPr>
        <w:widowControl w:val="0"/>
        <w:autoSpaceDE w:val="0"/>
        <w:autoSpaceDN w:val="0"/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C743D9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C743D9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C743D9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823964" w:rsidRPr="00C743D9" w:rsidRDefault="00823964" w:rsidP="0082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C743D9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C743D9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C743D9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823964" w:rsidRPr="00C743D9" w:rsidRDefault="00823964" w:rsidP="00823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:rsidR="00640545" w:rsidRDefault="00640545">
      <w:bookmarkStart w:id="0" w:name="_GoBack"/>
      <w:bookmarkEnd w:id="0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823964"/>
    <w:rsid w:val="00D65CCD"/>
    <w:rsid w:val="00E01F36"/>
    <w:rsid w:val="00F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2023-11-16T07:54:00Z</dcterms:created>
  <dcterms:modified xsi:type="dcterms:W3CDTF">2023-11-16T07:54:00Z</dcterms:modified>
</cp:coreProperties>
</file>