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EF54A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F54A5">
        <w:rPr>
          <w:rFonts w:ascii="Times New Roman" w:hAnsi="Times New Roman" w:cs="Times New Roman"/>
          <w:sz w:val="24"/>
          <w:szCs w:val="24"/>
          <w:lang w:val="sr-Cyrl-RS"/>
        </w:rPr>
        <w:t>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грађевинској парцели која ће бити формирана од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парцел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>615/59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>дела катастарске парцеле 4615/2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 обе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EF54A5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.05.2023.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EF54A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3495A">
        <w:rPr>
          <w:rFonts w:ascii="Times New Roman" w:hAnsi="Times New Roman" w:cs="Times New Roman"/>
          <w:sz w:val="24"/>
          <w:szCs w:val="24"/>
          <w:lang w:val="en-US"/>
        </w:rPr>
        <w:t>.05.2023</w:t>
      </w:r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495A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570343"/>
    <w:rsid w:val="0058042F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54A5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2023-05-16T07:58:00Z</dcterms:created>
  <dcterms:modified xsi:type="dcterms:W3CDTF">2023-05-16T07:58:00Z</dcterms:modified>
</cp:coreProperties>
</file>